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3122">
      <w:pPr>
        <w:jc w:val="right"/>
        <w:rPr>
          <w:b/>
          <w:sz w:val="24"/>
          <w:szCs w:val="24"/>
          <w:lang w:val="ru-RU"/>
        </w:rPr>
      </w:pPr>
    </w:p>
    <w:p w14:paraId="77F818A7">
      <w:pPr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pict>
          <v:shape id="_x0000_i1025" o:spt="75" alt="Первенство Юноши 1 стр_page-0001" type="#_x0000_t75" style="height:160.4pt;width:555.1pt;" filled="f" o:preferrelative="t" stroked="f" coordsize="21600,21600">
            <v:path/>
            <v:fill on="f" focussize="0,0"/>
            <v:stroke on="f"/>
            <v:imagedata r:id="rId6" o:title="Первенство Юноши 1 стр_page-0001"/>
            <o:lock v:ext="edit" aspectratio="t"/>
            <w10:wrap type="none"/>
            <w10:anchorlock/>
          </v:shape>
        </w:pict>
      </w:r>
    </w:p>
    <w:p w14:paraId="7662D280">
      <w:pPr>
        <w:pStyle w:val="2"/>
        <w:ind w:firstLine="0"/>
        <w:rPr>
          <w:szCs w:val="24"/>
        </w:rPr>
      </w:pPr>
      <w:bookmarkStart w:id="0" w:name="_GoBack"/>
      <w:bookmarkEnd w:id="0"/>
      <w:r>
        <w:rPr>
          <w:szCs w:val="24"/>
        </w:rPr>
        <w:t>РЕГЛАМЕНТ</w:t>
      </w:r>
    </w:p>
    <w:p w14:paraId="483280F2">
      <w:pPr>
        <w:pStyle w:val="3"/>
        <w:ind w:firstLine="0"/>
        <w:rPr>
          <w:b w:val="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Первенства АМФ “Золотое кольцо” по футболу 8х8 </w:t>
      </w:r>
      <w:r>
        <w:rPr>
          <w:szCs w:val="24"/>
          <w:lang w:val="ru-RU"/>
        </w:rPr>
        <w:t xml:space="preserve">среди юношеских команд </w:t>
      </w:r>
    </w:p>
    <w:p w14:paraId="548994E9">
      <w:pPr>
        <w:pStyle w:val="3"/>
        <w:ind w:firstLine="0"/>
        <w:rPr>
          <w:b w:val="0"/>
          <w:szCs w:val="24"/>
          <w:lang w:val="ru-RU"/>
        </w:rPr>
      </w:pPr>
      <w:r>
        <w:rPr>
          <w:szCs w:val="24"/>
          <w:lang w:val="ru-RU"/>
        </w:rPr>
        <w:t>младших возрастов ДЮСШ и СШОР в 2026 году</w:t>
      </w:r>
    </w:p>
    <w:p w14:paraId="3D22960C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72E3174F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ЦЕЛИ И ЗАДАЧИ</w:t>
      </w:r>
    </w:p>
    <w:p w14:paraId="0D022072">
      <w:pPr>
        <w:ind w:left="720"/>
        <w:rPr>
          <w:b/>
          <w:sz w:val="24"/>
          <w:szCs w:val="24"/>
          <w:u w:val="single"/>
          <w:lang w:val="ru-RU"/>
        </w:rPr>
      </w:pPr>
    </w:p>
    <w:p w14:paraId="25A37AE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Юношеские соревнования по футболу проводятся с целью:</w:t>
      </w:r>
    </w:p>
    <w:p w14:paraId="0BADA57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развития юношеского футбола в регионах России;</w:t>
      </w:r>
    </w:p>
    <w:p w14:paraId="1FB181A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повышения качества учебно-тренировочной и воспитательной работы в юношеских командах;</w:t>
      </w:r>
    </w:p>
    <w:p w14:paraId="77C798B7">
      <w:pPr>
        <w:ind w:firstLine="851"/>
        <w:jc w:val="both"/>
        <w:rPr>
          <w:b/>
          <w:sz w:val="24"/>
          <w:szCs w:val="24"/>
          <w:lang w:val="ru-RU"/>
        </w:rPr>
      </w:pPr>
    </w:p>
    <w:p w14:paraId="3F3A9566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РУКОВОДСТВО ПРОВЕДЕНИЕМ СОРЕВНОВАНИЙ</w:t>
      </w:r>
    </w:p>
    <w:p w14:paraId="458239B4">
      <w:pPr>
        <w:ind w:left="720"/>
        <w:rPr>
          <w:b/>
          <w:sz w:val="24"/>
          <w:szCs w:val="24"/>
          <w:u w:val="single"/>
          <w:lang w:val="ru-RU"/>
        </w:rPr>
      </w:pPr>
    </w:p>
    <w:p w14:paraId="2FEC8B74">
      <w:pPr>
        <w:shd w:val="clear" w:color="auto" w:fill="FFFFFF"/>
        <w:tabs>
          <w:tab w:val="left" w:pos="10130"/>
        </w:tabs>
        <w:spacing w:after="120"/>
        <w:jc w:val="both"/>
        <w:rPr>
          <w:color w:val="001E0F"/>
          <w:spacing w:val="-13"/>
          <w:w w:val="10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>
        <w:rPr>
          <w:color w:val="000000"/>
          <w:spacing w:val="-8"/>
          <w:w w:val="108"/>
          <w:sz w:val="24"/>
          <w:szCs w:val="24"/>
          <w:lang w:val="ru-RU"/>
        </w:rPr>
        <w:t xml:space="preserve">Общее руководство </w:t>
      </w:r>
      <w:r>
        <w:rPr>
          <w:color w:val="001E0F"/>
          <w:spacing w:val="-8"/>
          <w:w w:val="108"/>
          <w:sz w:val="24"/>
          <w:szCs w:val="24"/>
          <w:lang w:val="ru-RU"/>
        </w:rPr>
        <w:t>по организации, проведению и контроль за ходом соревнований осуществляет</w:t>
      </w:r>
      <w:r>
        <w:rPr>
          <w:color w:val="001E0F"/>
          <w:spacing w:val="-13"/>
          <w:w w:val="108"/>
          <w:sz w:val="24"/>
          <w:szCs w:val="24"/>
          <w:lang w:val="ru-RU"/>
        </w:rPr>
        <w:t xml:space="preserve"> межрегиональная федерация футбола «Золотое кольцо».</w:t>
      </w:r>
    </w:p>
    <w:p w14:paraId="20AEAB8C">
      <w:pPr>
        <w:tabs>
          <w:tab w:val="left" w:pos="1134"/>
        </w:tabs>
        <w:spacing w:line="360" w:lineRule="auto"/>
        <w:jc w:val="both"/>
        <w:rPr>
          <w:sz w:val="24"/>
          <w:szCs w:val="24"/>
          <w:lang w:val="ru-RU"/>
        </w:rPr>
      </w:pPr>
      <w:r>
        <w:rPr>
          <w:color w:val="001E0F"/>
          <w:spacing w:val="-13"/>
          <w:w w:val="108"/>
          <w:sz w:val="24"/>
          <w:szCs w:val="24"/>
          <w:lang w:val="ru-RU"/>
        </w:rPr>
        <w:t xml:space="preserve">2.2. </w:t>
      </w:r>
      <w:r>
        <w:rPr>
          <w:sz w:val="24"/>
          <w:szCs w:val="24"/>
          <w:lang w:val="ru-RU"/>
        </w:rPr>
        <w:t>Непосредственную организацию, проведение и управление Первенством осуществляет АНО “Ассоциация мини – футбола “Золотое кольцо” (далее “Ассоциация”).</w:t>
      </w:r>
    </w:p>
    <w:p w14:paraId="67F7DB7F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>
        <w:rPr>
          <w:color w:val="000000"/>
          <w:spacing w:val="-11"/>
          <w:sz w:val="24"/>
          <w:szCs w:val="24"/>
          <w:lang w:val="ru-RU"/>
        </w:rPr>
        <w:t xml:space="preserve">2.3. Вопросы, не прописанные в данном Регламенте, рассматриваются в соответствие с Регламентом соревнований АМФ “Золотое кольцо” по футзалу (футболу) в спортивном сезоне 2026-2027 годов и с решениями и требованиями ФИФА, УЕФА, РФС </w:t>
      </w:r>
      <w:r>
        <w:rPr>
          <w:color w:val="001E0F"/>
          <w:spacing w:val="-11"/>
          <w:sz w:val="24"/>
          <w:szCs w:val="24"/>
          <w:lang w:val="ru-RU"/>
        </w:rPr>
        <w:t>и МФФ “Золотое кольцо”.</w:t>
      </w:r>
    </w:p>
    <w:p w14:paraId="2AAC7579">
      <w:pPr>
        <w:ind w:firstLine="708"/>
        <w:jc w:val="both"/>
        <w:rPr>
          <w:sz w:val="24"/>
          <w:szCs w:val="24"/>
          <w:lang w:val="ru-RU"/>
        </w:rPr>
      </w:pPr>
    </w:p>
    <w:p w14:paraId="352370BC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3. ОБЕСПЕЧЕНИЕ БЕЗОПАСНОСТИ УЧАСТНИКОВ И ЗРИТЕЛЕЙ,</w:t>
      </w:r>
    </w:p>
    <w:p w14:paraId="2BA8A49B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МЕДИЦИНСКОЕ ОБЕСПЕЧЕНИЕ СПОРТИВНЫХ СОРЕВНОВАНИЙ</w:t>
      </w:r>
    </w:p>
    <w:p w14:paraId="7FBF8CA5">
      <w:pPr>
        <w:jc w:val="center"/>
        <w:rPr>
          <w:b/>
          <w:sz w:val="24"/>
          <w:szCs w:val="24"/>
          <w:lang w:val="ru-RU"/>
        </w:rPr>
      </w:pPr>
    </w:p>
    <w:p w14:paraId="72839AF0">
      <w:pPr>
        <w:spacing w:line="228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3.1 </w:t>
      </w:r>
      <w:r>
        <w:rPr>
          <w:bCs/>
          <w:sz w:val="24"/>
          <w:szCs w:val="24"/>
          <w:lang w:val="ru-RU"/>
        </w:rPr>
        <w:t>Спортивные соревнования проводятся на объектах спорта, включенных в Всероссийский реестр объектов спорта, в соответствии с пунктом 5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  <w:lang w:val="ru-RU"/>
        </w:rPr>
        <w:t xml:space="preserve"> статьи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  <w:lang w:val="ru-RU"/>
        </w:rPr>
        <w:t xml:space="preserve"> 37.1</w:t>
      </w:r>
      <w:r>
        <w:rPr>
          <w:bCs/>
          <w:sz w:val="24"/>
          <w:szCs w:val="24"/>
        </w:rPr>
        <w:t> </w:t>
      </w:r>
      <w:r>
        <w:rPr>
          <w:bCs/>
          <w:sz w:val="24"/>
          <w:szCs w:val="24"/>
          <w:lang w:val="ru-RU"/>
        </w:rPr>
        <w:t xml:space="preserve"> Федерального закона от 4 декабря 2007 года</w:t>
      </w:r>
      <w:r>
        <w:rPr>
          <w:bCs/>
          <w:sz w:val="24"/>
          <w:szCs w:val="24"/>
        </w:rPr>
        <w:t> N</w:t>
      </w:r>
      <w:r>
        <w:rPr>
          <w:bCs/>
          <w:sz w:val="24"/>
          <w:szCs w:val="24"/>
          <w:lang w:val="ru-RU"/>
        </w:rPr>
        <w:t xml:space="preserve"> 329-ФЗ «О физической культуре и спорте в Российской Федерации», отвечающих требованиям </w:t>
      </w:r>
      <w:r>
        <w:rPr>
          <w:sz w:val="24"/>
          <w:szCs w:val="24"/>
          <w:lang w:val="ru-RU"/>
        </w:rPr>
        <w:t>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отвечать требованиям правил по виду спорта «футбол».</w:t>
      </w:r>
    </w:p>
    <w:p w14:paraId="3DDBD2E9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мандатную комиссию на каждого участника Соревнований. Страхование участников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14:paraId="353719E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3.3.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 Каждый участник должен иметь справку о состоянии здоровья, которая является основанием для допуска к соревнованиям.</w:t>
      </w:r>
    </w:p>
    <w:p w14:paraId="1DE86910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7813579C">
      <w:pPr>
        <w:ind w:firstLine="708"/>
        <w:jc w:val="both"/>
        <w:rPr>
          <w:sz w:val="24"/>
          <w:szCs w:val="24"/>
          <w:lang w:val="ru-RU"/>
        </w:rPr>
      </w:pPr>
    </w:p>
    <w:p w14:paraId="191502D8">
      <w:pPr>
        <w:numPr>
          <w:ilvl w:val="0"/>
          <w:numId w:val="3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УЧАСТНИКИ СОРЕВНОВАНИЙ</w:t>
      </w:r>
    </w:p>
    <w:p w14:paraId="561AE605">
      <w:pPr>
        <w:ind w:left="720"/>
        <w:rPr>
          <w:b/>
          <w:sz w:val="24"/>
          <w:szCs w:val="24"/>
          <w:u w:val="single"/>
          <w:lang w:val="ru-RU"/>
        </w:rPr>
      </w:pPr>
    </w:p>
    <w:p w14:paraId="60F7279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4.1. К участию в юношеском Первенстве допускаются команды по письменному представлению областных федераций футбола.</w:t>
      </w:r>
    </w:p>
    <w:p w14:paraId="04B649D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 Первенство проводится в четырех возрастных группах: </w:t>
      </w:r>
    </w:p>
    <w:p w14:paraId="603B4DE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- 2014 год рождения;   </w:t>
      </w:r>
    </w:p>
    <w:p w14:paraId="5E27F1A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- 2015 год рождения;</w:t>
      </w:r>
    </w:p>
    <w:p w14:paraId="3D6F6F7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- 2016 год рождения;</w:t>
      </w:r>
    </w:p>
    <w:p w14:paraId="7714C8A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- 2017 год рождения.</w:t>
      </w:r>
    </w:p>
    <w:p w14:paraId="7361A77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4.3. Допускается участие в Соревнованиях футболистов иностранного государства при предъявлении документов, подтверждающих получение вида на жительство в Российской Федерации. Разрешается участие в Соревнованиях детей работников дипломатических миссий и консульств при предъявлении соответствующих документов. </w:t>
      </w:r>
    </w:p>
    <w:p w14:paraId="0463994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4.4.  Игрок, отыгравший за команду юношей одного возраста, не имеет право играть за команду юношей другого возраста, если игры проходят в один день.</w:t>
      </w:r>
    </w:p>
    <w:p w14:paraId="7BFB8F5B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4.5. Допускается участие футболистов младшего возраста за команду на два года старше при условии предъявления дополнительной медицинской справки, разрешающей играть за старший возраст. </w:t>
      </w:r>
    </w:p>
    <w:p w14:paraId="7CB78519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4.6.  В протокол матча в раздел «Официальные представители» вносятся фамилии и инициалы людей, которым выдан служебный билет соответствующего вида, и которые имеют право размещаться вместе с запасными футболистами на специально отведенных местах, находящихся в технической зоне.</w:t>
      </w:r>
    </w:p>
    <w:p w14:paraId="277A17C7">
      <w:pPr>
        <w:jc w:val="both"/>
        <w:rPr>
          <w:sz w:val="24"/>
          <w:szCs w:val="24"/>
          <w:lang w:val="ru-RU"/>
        </w:rPr>
      </w:pPr>
    </w:p>
    <w:p w14:paraId="11EF0556">
      <w:pPr>
        <w:numPr>
          <w:ilvl w:val="0"/>
          <w:numId w:val="3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УСЛОВИЯ ПРОВЕДЕНИЯ СОРЕВНОВАНИЙ И </w:t>
      </w:r>
    </w:p>
    <w:p w14:paraId="19AC7821">
      <w:pPr>
        <w:ind w:left="720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ОПРЕДЕЛЕНИЕ ПОБЕДИТЕЛЕЙ</w:t>
      </w:r>
    </w:p>
    <w:p w14:paraId="08895332">
      <w:pPr>
        <w:ind w:left="720"/>
        <w:rPr>
          <w:b/>
          <w:sz w:val="24"/>
          <w:szCs w:val="24"/>
          <w:u w:val="single"/>
          <w:lang w:val="ru-RU"/>
        </w:rPr>
      </w:pPr>
    </w:p>
    <w:p w14:paraId="17496A6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 Ассоциация мини-футбола и участвующая СШОР, ДЮСШ заключают договор об участии юношеских команд в соревнованиях по футболу 8х8 в 2026 году, где указываются обязательства каждой из сторон.</w:t>
      </w:r>
    </w:p>
    <w:p w14:paraId="76839E99">
      <w:pPr>
        <w:pStyle w:val="18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5.2. Соревнования проводятся по принципу «каждый с каждым» в два круга на основании составленного календаря. </w:t>
      </w:r>
    </w:p>
    <w:p w14:paraId="326841BA">
      <w:pPr>
        <w:pStyle w:val="18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5.3. Места команд в Первенстве определяются по наибольшей сумме набранных очков во всех играх. За выигрыш начисляется 3 очка, за ничью –1 очко, за проигрыш – 0 очков. </w:t>
      </w:r>
    </w:p>
    <w:p w14:paraId="0A64B773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В случае равенства очков у двух и более команд их места в текущей и в итоговой турнирной таблице Первенства определяются по следующим показателям, последовательно в указанном порядке:</w:t>
      </w:r>
    </w:p>
    <w:p w14:paraId="54DE63F5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а) число набранных очков в матчах между собой;</w:t>
      </w:r>
    </w:p>
    <w:p w14:paraId="72AD9C25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б) разность забитых и пропущенных мячей в матчах между собой;</w:t>
      </w:r>
    </w:p>
    <w:p w14:paraId="094C3819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в) по наибольшему числу побед во всех матчах;</w:t>
      </w:r>
    </w:p>
    <w:p w14:paraId="4C10C5E9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г) по лучшей разности забитых и пропущенных мячей во всех матчах;</w:t>
      </w:r>
    </w:p>
    <w:p w14:paraId="3A8569A4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д) по наибольшему числу забитых мячей во всех матчах;</w:t>
      </w:r>
    </w:p>
    <w:p w14:paraId="2B3284EF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е) по наибольшему числу побед во всех гостевых матчах;</w:t>
      </w:r>
    </w:p>
    <w:p w14:paraId="4C227BD2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ж) по наибольшему числу мячей, забитых на чужих полях во всех матчах;</w:t>
      </w:r>
    </w:p>
    <w:p w14:paraId="61F50D90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з) по меньшему количеству дисциплинарных очков с учетом только желтых и красных</w:t>
      </w:r>
    </w:p>
    <w:p w14:paraId="11164B32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карточек, полученных игроками Команды в Матчах Соревнования (красная карточка =</w:t>
      </w:r>
    </w:p>
    <w:p w14:paraId="1F4F76A3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3 очка, желтая карточка = 1 очко, удаление за две желтые карточки в одном матче =</w:t>
      </w:r>
    </w:p>
    <w:p w14:paraId="11BF9F07">
      <w:pPr>
        <w:pStyle w:val="18"/>
        <w:ind w:firstLine="72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2,5 очка).</w:t>
      </w:r>
    </w:p>
    <w:p w14:paraId="1041C9BD">
      <w:pPr>
        <w:pStyle w:val="18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случае равенства всех этих показателей – по жребию.</w:t>
      </w:r>
    </w:p>
    <w:p w14:paraId="46E5126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5.4. Тренеры команд должны за 45 минут до начала игры внести в протокол матча фамилии и имена игроков на данную встречу с указанием их номеров и предоставить судье матча заявочный лист и билеты участников. В протокол матча вносятся фамилии и имена 18 футболистов. Команда-«хозяин поля» заполняет протокол первой.</w:t>
      </w:r>
    </w:p>
    <w:p w14:paraId="5CFFE2D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5.5. Команде, не явившейся на игру без уважительной причины, засчитывается поражение со счетом 0 - 3, а команде-сопернице – победа со счетом 3 - 0.</w:t>
      </w:r>
    </w:p>
    <w:p w14:paraId="5FAE41BF">
      <w:pPr>
        <w:ind w:firstLine="720"/>
        <w:jc w:val="both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5.6. Устанавливается следующая продолжительность матчей – 2 тайма по 20 минут                              с 5-ти минутным перерывом</w:t>
      </w:r>
      <w:r>
        <w:rPr>
          <w:color w:val="000000"/>
          <w:sz w:val="24"/>
          <w:szCs w:val="24"/>
          <w:lang w:val="ru-RU"/>
        </w:rPr>
        <w:t>.</w:t>
      </w:r>
    </w:p>
    <w:p w14:paraId="3B1D2EF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5.7. Все вопросы дисциплинарного характера и вопросы, связанные с неявкой команд на игры, решаются КОНТРОЛЬНО-ДИСЦИПЛИНАРНОЙ КОМИССИЕЙ (КДК) МФФ «Золотое кольцо». Команды обязаны выполнять решения КДК.</w:t>
      </w:r>
    </w:p>
    <w:p w14:paraId="699F1610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5.8. Вопрос о переносе матча может быть рассмотрен Ассоциацией мини-футбола только после письменного заявления заинтересованного футбольного коллектива по факту переноса не позднее, чем за 2 недели до матча с указанием согласованной даты проведения перенесенной игры с другой стороной, которая представляет письменное подтверждение о согласии в Ассоциацию мини-футбола. </w:t>
      </w:r>
    </w:p>
    <w:p w14:paraId="171E5256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5.9. В случае совпадения цветов игровой формы у двух команд, приоритет в выборе цвета формы имеет команда – “хозяин поля”.</w:t>
      </w:r>
    </w:p>
    <w:p w14:paraId="01495DA6">
      <w:pPr>
        <w:spacing w:line="20" w:lineRule="atLeast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           5.10.</w:t>
      </w:r>
      <w:r>
        <w:rPr>
          <w:sz w:val="24"/>
          <w:szCs w:val="24"/>
          <w:lang w:val="ru-RU" w:eastAsia="ru-RU"/>
        </w:rPr>
        <w:t xml:space="preserve"> Матчи проводятся согласно “Положению о проведении матчей Первенства и Кубка АМФ “Золотое кольцо” по футболу среди юношей младших возрастов в 2026 году”, утвержденному Ассоциацией.</w:t>
      </w:r>
    </w:p>
    <w:p w14:paraId="769A69D1">
      <w:pPr>
        <w:pStyle w:val="43"/>
        <w:ind w:left="0" w:firstLine="720"/>
        <w:jc w:val="both"/>
        <w:rPr>
          <w:b w:val="0"/>
          <w:szCs w:val="24"/>
          <w:u w:val="none"/>
        </w:rPr>
      </w:pPr>
    </w:p>
    <w:p w14:paraId="1CDA5FD4">
      <w:p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6. ПОРЯДОК ОФОРМЛЕНИЯ УЧАСТНИКОВ СОРЕВНОВАНИЙ</w:t>
      </w:r>
    </w:p>
    <w:p w14:paraId="009B126C">
      <w:pPr>
        <w:jc w:val="center"/>
        <w:rPr>
          <w:b/>
          <w:sz w:val="24"/>
          <w:szCs w:val="24"/>
          <w:u w:val="single"/>
          <w:lang w:val="ru-RU"/>
        </w:rPr>
      </w:pPr>
    </w:p>
    <w:p w14:paraId="581E7ADF">
      <w:pPr>
        <w:tabs>
          <w:tab w:val="left" w:pos="10032"/>
        </w:tabs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Администрация ДЮСШ, СДЮСШОР, футбольного клуба должна </w:t>
      </w:r>
      <w:r>
        <w:rPr>
          <w:color w:val="000000"/>
          <w:sz w:val="24"/>
          <w:szCs w:val="24"/>
          <w:lang w:val="ru-RU"/>
        </w:rPr>
        <w:t>до 16 апреля 2026 года</w:t>
      </w:r>
      <w:r>
        <w:rPr>
          <w:sz w:val="24"/>
          <w:szCs w:val="24"/>
          <w:lang w:val="ru-RU"/>
        </w:rPr>
        <w:t xml:space="preserve"> подтвердить в АМФ «Золотое кольцо» гарантийным письмом за подписью руководителя коллектива, обеспечивающего финансирование, участие в соревнованиях юношеских команд с указанием возрастов. Сообщить наименование команд, их принадлежность к организации с указанием Ф.И.О. руководителя, тренерского состава, номера служебных телефонов и адрес электронной почты.</w:t>
      </w:r>
    </w:p>
    <w:p w14:paraId="245C9B5A">
      <w:pPr>
        <w:tabs>
          <w:tab w:val="left" w:pos="10032"/>
        </w:tabs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 Организационное совещание с участием директоров спортивных школ – участников соревнований состоится в г. Ярославле. Дата, время и место проведения совещания будут сообщены дополнительно.</w:t>
      </w:r>
    </w:p>
    <w:p w14:paraId="0FC07E93">
      <w:pPr>
        <w:pStyle w:val="1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6.3. Оформление заявок юношеских команд будет проводиться в установленные для каждой команды сроки в</w:t>
      </w:r>
      <w:r>
        <w:rPr>
          <w:b w:val="0"/>
          <w:color w:val="000000"/>
          <w:szCs w:val="24"/>
        </w:rPr>
        <w:t xml:space="preserve"> апреле-мае 2026 года</w:t>
      </w:r>
      <w:r>
        <w:rPr>
          <w:b w:val="0"/>
          <w:szCs w:val="24"/>
        </w:rPr>
        <w:t xml:space="preserve"> в АМФ «Золотое кольцо».</w:t>
      </w:r>
    </w:p>
    <w:p w14:paraId="6265ED1F">
      <w:pPr>
        <w:pStyle w:val="1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6.4.  Заявка игроков заканчивается за 21 день до даты последнего игрового дня соревнований. После этого заявить игрока за команду уже нельзя.</w:t>
      </w:r>
    </w:p>
    <w:p w14:paraId="66C48DB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6.5. В заявку команды каждого возраста в обязательном порядке включаются, директор ДЮСШ (СШОР), тренеры и врач команды, в заявку команды разрешается включать до 40 футболистов. </w:t>
      </w:r>
    </w:p>
    <w:p w14:paraId="1D7C934C">
      <w:pPr>
        <w:jc w:val="both"/>
        <w:rPr>
          <w:sz w:val="24"/>
          <w:szCs w:val="24"/>
          <w:lang w:val="ru-RU"/>
        </w:rPr>
      </w:pPr>
      <w:r>
        <w:rPr>
          <w:sz w:val="24"/>
          <w:lang w:val="ru-RU"/>
        </w:rPr>
        <w:t xml:space="preserve">            6.6</w:t>
      </w:r>
      <w:r>
        <w:rPr>
          <w:sz w:val="24"/>
          <w:szCs w:val="24"/>
          <w:lang w:val="ru-RU"/>
        </w:rPr>
        <w:t>. При оформлении заявочной документации представляются:</w:t>
      </w:r>
    </w:p>
    <w:p w14:paraId="4F2B95D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– заявочный лист, распечатанный по установленной форме (№, Ф.И.О., дата рождения, номер паспорта, домашний адрес с индексом, разрешение врача о допуске к соревнованиям), отпечатанный на принтере в 2-х экземплярах, подписанный руководителями: футбольной школы, областной федерации футбола, </w:t>
      </w:r>
      <w:r>
        <w:rPr>
          <w:color w:val="000000"/>
          <w:sz w:val="24"/>
          <w:szCs w:val="24"/>
          <w:lang w:val="ru-RU"/>
        </w:rPr>
        <w:t>врачебно-физкультурного диспансера</w:t>
      </w:r>
      <w:r>
        <w:rPr>
          <w:sz w:val="24"/>
          <w:szCs w:val="24"/>
          <w:lang w:val="ru-RU"/>
        </w:rPr>
        <w:t xml:space="preserve"> и скрепленный печатями;</w:t>
      </w:r>
    </w:p>
    <w:p w14:paraId="56201AAB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билеты участников соревнований с наклеенной фотографией (сделанные в 2026 г.), (билеты участников с фотографиями, непригодными для идентификации футболистов, не принимаются);</w:t>
      </w:r>
    </w:p>
    <w:p w14:paraId="28ABE97D">
      <w:pPr>
        <w:pStyle w:val="18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оригиналы свидетельств о рождении (либо оригиналы заграничных паспортов);</w:t>
      </w:r>
    </w:p>
    <w:p w14:paraId="6629324E">
      <w:pPr>
        <w:pStyle w:val="11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участников юношеских команд при заявке должны быть предоставлены справки из общеобразовательных школ с фотографией, заверенные подписью и печатью на фотографии руководителей учебных заведений, где обучаются футболисты (школ, колледжей, лицеев и др.).</w:t>
      </w:r>
    </w:p>
    <w:p w14:paraId="557BC8A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договор об аренде стадиона, на котором играет команда, в котором должны быть отражены гарантии администрации стадиона о сохранности имущества и инвентаря игроков футбольных команд;</w:t>
      </w:r>
    </w:p>
    <w:p w14:paraId="08CCB0B8">
      <w:pPr>
        <w:ind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оригинал договора о страховании жизни и страхования от несчастных случаев – травматизма и потери трудоспособности на всех игроков, включенных в заявочный лист команды.</w:t>
      </w:r>
    </w:p>
    <w:p w14:paraId="2FA4295C">
      <w:pPr>
        <w:ind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акт приемки стадиона, на котором играет команда, подписанный всеми соответствующими должностными лицами и заверенный печатями.</w:t>
      </w:r>
    </w:p>
    <w:p w14:paraId="47D36FD6">
      <w:pPr>
        <w:ind w:firstLine="72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игрок может быть заявлен только за одну команду.</w:t>
      </w:r>
    </w:p>
    <w:p w14:paraId="15762E2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договор с АМФ "Золотое кольцо" об участии юношеских команд в соревнованиях по футболу 8х8 в 2026 г., подписанный руководителем ДЮСШ (СШОР), Ассоциации мини-футбола и скрепленный печатями;</w:t>
      </w:r>
    </w:p>
    <w:p w14:paraId="71D6281F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копию платежного поручения с отметкой о перечислении взноса на организацию и проведение соревнований на расчетный счет Ассоциации мини-футбола "Золотое кольцо" в сумме:</w:t>
      </w:r>
    </w:p>
    <w:p w14:paraId="3FCE1ACF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за участие в Первенстве АМФ "Золотое кольцо" среди юношей 2014 г.р. - </w:t>
      </w:r>
      <w:r>
        <w:rPr>
          <w:b/>
          <w:sz w:val="24"/>
          <w:szCs w:val="24"/>
          <w:lang w:val="ru-RU"/>
        </w:rPr>
        <w:t>38000</w:t>
      </w:r>
      <w:r>
        <w:rPr>
          <w:sz w:val="24"/>
          <w:szCs w:val="24"/>
          <w:lang w:val="ru-RU"/>
        </w:rPr>
        <w:t xml:space="preserve"> рублей                   до 14 мая 2026 года;</w:t>
      </w:r>
    </w:p>
    <w:p w14:paraId="60E7404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за участие в Первенстве АМФ "Золотое кольцо" среди юношей 2015 г.р. - </w:t>
      </w:r>
      <w:r>
        <w:rPr>
          <w:b/>
          <w:sz w:val="24"/>
          <w:szCs w:val="24"/>
          <w:lang w:val="ru-RU"/>
        </w:rPr>
        <w:t>38000</w:t>
      </w:r>
      <w:r>
        <w:rPr>
          <w:sz w:val="24"/>
          <w:szCs w:val="24"/>
          <w:lang w:val="ru-RU"/>
        </w:rPr>
        <w:t xml:space="preserve"> ру6лей                   до 14 мая 2026 года;</w:t>
      </w:r>
    </w:p>
    <w:p w14:paraId="2298DB4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за участие в Первенстве АМФ "Золотое кольцо" среди юношей 2016 г.р. - </w:t>
      </w:r>
      <w:r>
        <w:rPr>
          <w:b/>
          <w:sz w:val="24"/>
          <w:szCs w:val="24"/>
          <w:lang w:val="ru-RU"/>
        </w:rPr>
        <w:t>38000</w:t>
      </w:r>
      <w:r>
        <w:rPr>
          <w:sz w:val="24"/>
          <w:szCs w:val="24"/>
          <w:lang w:val="ru-RU"/>
        </w:rPr>
        <w:t xml:space="preserve"> рублей                   до 14 мая 2026 года;</w:t>
      </w:r>
    </w:p>
    <w:p w14:paraId="5D20E83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за участие в Первенстве АМФ "Золотое кольцо" среди юношей 2017 г.р. - </w:t>
      </w:r>
      <w:r>
        <w:rPr>
          <w:b/>
          <w:sz w:val="24"/>
          <w:szCs w:val="24"/>
          <w:lang w:val="ru-RU"/>
        </w:rPr>
        <w:t>38000</w:t>
      </w:r>
      <w:r>
        <w:rPr>
          <w:sz w:val="24"/>
          <w:szCs w:val="24"/>
          <w:lang w:val="ru-RU"/>
        </w:rPr>
        <w:t xml:space="preserve"> рублей                   до 14 мая 2026 года;</w:t>
      </w:r>
    </w:p>
    <w:p w14:paraId="52797360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6.7. Коллектив, не перечисливший взнос на организацию и проведение соревнований в установленные сроки, к соревнованиям не допускается.</w:t>
      </w:r>
    </w:p>
    <w:p w14:paraId="184C0B36">
      <w:pPr>
        <w:ind w:left="60" w:firstLine="6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6.8. Оплата проведения футбольных матчей (оплата судьям) производится на месте командой по календарю «хозяин поля» по указанным ниже нормативам в установленном порядке.</w:t>
      </w:r>
    </w:p>
    <w:p w14:paraId="3856C838">
      <w:pPr>
        <w:pStyle w:val="43"/>
        <w:ind w:left="0" w:firstLine="720"/>
        <w:jc w:val="center"/>
        <w:rPr>
          <w:b w:val="0"/>
          <w:szCs w:val="24"/>
          <w:u w:val="none"/>
        </w:rPr>
      </w:pPr>
    </w:p>
    <w:p w14:paraId="744BEF9F">
      <w:pPr>
        <w:pStyle w:val="43"/>
        <w:ind w:left="0"/>
        <w:jc w:val="center"/>
        <w:rPr>
          <w:szCs w:val="24"/>
        </w:rPr>
      </w:pPr>
      <w:r>
        <w:rPr>
          <w:szCs w:val="24"/>
        </w:rPr>
        <w:t>7. СУДЕЙСТВО СОРЕВНОВАНИЙ</w:t>
      </w:r>
    </w:p>
    <w:p w14:paraId="20349A74">
      <w:pPr>
        <w:pStyle w:val="43"/>
        <w:ind w:left="0"/>
        <w:jc w:val="center"/>
        <w:rPr>
          <w:szCs w:val="24"/>
        </w:rPr>
      </w:pPr>
    </w:p>
    <w:p w14:paraId="1D161901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7.1. Судейство соревнований осуществляется судьями, рекомендованными областными федерациями футбола и утвержденными Исполкомом МФФ «Золотое кольцо». Матч обслуживает судейская бригада в следующем составе: главный судья и второй судья.</w:t>
      </w:r>
    </w:p>
    <w:p w14:paraId="73C9EC1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7.2. Назначение судей на игры осуществляется комиссией юношеского футбола совместно с судейско–инспекторским комитетом МФФ «Золотое кольцо» и утверждается председателем СИК. Судьи, назначенные для проведения матча, обязаны подтвердить свое назначение не позднее, чем за две недели до матча в комиссию назначения МФФ «Золотое кольцо» по электронной почте: </w:t>
      </w:r>
      <w:r>
        <w:fldChar w:fldCharType="begin"/>
      </w:r>
      <w:r>
        <w:instrText xml:space="preserve"> HYPERLINK "mailto:NAZN-MFF@YANDEX.RU" \h </w:instrText>
      </w:r>
      <w:r>
        <w:fldChar w:fldCharType="separate"/>
      </w:r>
      <w:r>
        <w:rPr>
          <w:rStyle w:val="40"/>
          <w:szCs w:val="24"/>
        </w:rPr>
        <w:t>NAZN-MFF@YANDEX.RU</w:t>
      </w:r>
      <w:r>
        <w:rPr>
          <w:rStyle w:val="40"/>
          <w:szCs w:val="24"/>
        </w:rPr>
        <w:fldChar w:fldCharType="end"/>
      </w:r>
      <w:r>
        <w:rPr>
          <w:b w:val="0"/>
          <w:szCs w:val="24"/>
        </w:rPr>
        <w:t>.</w:t>
      </w:r>
      <w:r>
        <w:rPr>
          <w:b w:val="0"/>
          <w:szCs w:val="24"/>
          <w:u w:val="none"/>
        </w:rPr>
        <w:t xml:space="preserve"> В случае отсутствия подтверждения назначения в указанные сроки оно аннулируется, и производится замена судьи. По любым возникающим по назначениям судей вопросам необходимо обращаться                          к Денисовскому Евгению Сергеевичу – секретарю комиссии назначений юношеского футбола,                                моб. тел.: 8 – 996 – 926 – 62 – 02.</w:t>
      </w:r>
    </w:p>
    <w:p w14:paraId="2472249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7.3. Судейство соревнований осуществляется в соответствии с «Правилами игры в футбол» и п.5.10. настоящего Регламента.</w:t>
      </w:r>
    </w:p>
    <w:p w14:paraId="49F180CD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7.4. Перед матчем главный судья на построении команд у футбольного поля обязан проверить у каждого игрока билет участника соревнований, сравнив соответствие стоящего перед ним футболиста с фотографией на билете участника, а также оценив правильность оформления билета участника (печать федерации должна стоять на фотографии). В дальнейшем при проведении процедуры замены игроков подобную процедуру обязан проводить первый помощник судьи. В случае выявления несоответствия, игрок к участию в матче не допускается, а главный судья после матча обязан написать рапорт в проводящую организацию о произошедшем инциденте.</w:t>
      </w:r>
    </w:p>
    <w:p w14:paraId="50E7262B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7.5. По окончании игры тренеры команд и главный судья обязаны в течение 30 минут оформить протокол. Все записи в протоколе делает судья матча. Тренеры команд подписывают протокол.</w:t>
      </w:r>
    </w:p>
    <w:p w14:paraId="4EB01676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7.6. По итогам матча протокол, оформленный главным судьей, не позднее 24 часов после окончания игры высылается заказным письмом по адресу: 150014 г. Ярославль, ул. Свободы, д. 71а, ТЦ “Новая Галерея”, офис 33, Ассоциация мини-футбола «Золотое кольцо».  Помимо этого, сканированный протокол матча в течение 1 (одного) часа после окончания матча отправляется на электронную почту:                             </w:t>
      </w:r>
      <w:r>
        <w:rPr>
          <w:b w:val="0"/>
          <w:szCs w:val="24"/>
          <w:lang w:val="en-US"/>
        </w:rPr>
        <w:t>AMF</w:t>
      </w:r>
      <w:r>
        <w:rPr>
          <w:b w:val="0"/>
          <w:szCs w:val="24"/>
        </w:rPr>
        <w:t>-</w:t>
      </w:r>
      <w:r>
        <w:fldChar w:fldCharType="begin"/>
      </w:r>
      <w:r>
        <w:instrText xml:space="preserve"> HYPERLINK "mailto:PROTOCOL@MAIL.RU" </w:instrText>
      </w:r>
      <w:r>
        <w:fldChar w:fldCharType="separate"/>
      </w:r>
      <w:r>
        <w:rPr>
          <w:rStyle w:val="7"/>
          <w:b w:val="0"/>
          <w:color w:val="auto"/>
          <w:szCs w:val="24"/>
        </w:rPr>
        <w:t>PROTOCOL@</w:t>
      </w:r>
      <w:r>
        <w:rPr>
          <w:rStyle w:val="7"/>
          <w:b w:val="0"/>
          <w:color w:val="auto"/>
          <w:szCs w:val="24"/>
          <w:lang w:val="en-US"/>
        </w:rPr>
        <w:t>MAIL</w:t>
      </w:r>
      <w:r>
        <w:rPr>
          <w:rStyle w:val="7"/>
          <w:b w:val="0"/>
          <w:color w:val="auto"/>
          <w:szCs w:val="24"/>
        </w:rPr>
        <w:t>.RU</w:t>
      </w:r>
      <w:r>
        <w:rPr>
          <w:rStyle w:val="7"/>
          <w:b w:val="0"/>
          <w:color w:val="auto"/>
          <w:szCs w:val="24"/>
        </w:rPr>
        <w:fldChar w:fldCharType="end"/>
      </w:r>
      <w:r>
        <w:rPr>
          <w:b w:val="0"/>
          <w:szCs w:val="24"/>
          <w:u w:val="none"/>
        </w:rPr>
        <w:t xml:space="preserve">. Необходимое оборудование для передачи телефонограммы и сканированного протокола игр предоставляется судье принимающей организацией. В случае возникновения конфликтных ситуаций по ходу проведения матча, главный судья и его помощники отправляют рапорты с подробным изложением произошедшего на электронную почту:                           </w:t>
      </w:r>
      <w:r>
        <w:rPr>
          <w:b w:val="0"/>
          <w:szCs w:val="24"/>
          <w:lang w:val="en-US"/>
        </w:rPr>
        <w:t>AMF</w:t>
      </w:r>
      <w:r>
        <w:rPr>
          <w:b w:val="0"/>
          <w:szCs w:val="24"/>
        </w:rPr>
        <w:t>-</w:t>
      </w:r>
      <w:r>
        <w:fldChar w:fldCharType="begin"/>
      </w:r>
      <w:r>
        <w:instrText xml:space="preserve"> HYPERLINK "mailto:PROTOCOL@MAIL.RU" </w:instrText>
      </w:r>
      <w:r>
        <w:fldChar w:fldCharType="separate"/>
      </w:r>
      <w:r>
        <w:rPr>
          <w:rStyle w:val="7"/>
          <w:b w:val="0"/>
          <w:color w:val="auto"/>
          <w:szCs w:val="24"/>
        </w:rPr>
        <w:t>PROTOCOL@</w:t>
      </w:r>
      <w:r>
        <w:rPr>
          <w:rStyle w:val="7"/>
          <w:b w:val="0"/>
          <w:color w:val="auto"/>
          <w:szCs w:val="24"/>
          <w:lang w:val="en-US"/>
        </w:rPr>
        <w:t>MAIL</w:t>
      </w:r>
      <w:r>
        <w:rPr>
          <w:rStyle w:val="7"/>
          <w:b w:val="0"/>
          <w:color w:val="auto"/>
          <w:szCs w:val="24"/>
        </w:rPr>
        <w:t>.RU</w:t>
      </w:r>
      <w:r>
        <w:rPr>
          <w:rStyle w:val="7"/>
          <w:b w:val="0"/>
          <w:color w:val="auto"/>
          <w:szCs w:val="24"/>
        </w:rPr>
        <w:fldChar w:fldCharType="end"/>
      </w:r>
      <w:r>
        <w:rPr>
          <w:b w:val="0"/>
          <w:szCs w:val="24"/>
          <w:u w:val="none"/>
        </w:rPr>
        <w:t xml:space="preserve"> в течение одного часа после окончания матча.</w:t>
      </w:r>
    </w:p>
    <w:p w14:paraId="545A9AB6">
      <w:pPr>
        <w:pStyle w:val="17"/>
        <w:jc w:val="center"/>
        <w:rPr>
          <w:sz w:val="24"/>
          <w:szCs w:val="24"/>
          <w:lang w:val="ru-RU"/>
        </w:rPr>
      </w:pPr>
    </w:p>
    <w:p w14:paraId="32EE1CE6">
      <w:pPr>
        <w:pStyle w:val="43"/>
        <w:ind w:left="0"/>
        <w:jc w:val="center"/>
        <w:rPr>
          <w:szCs w:val="24"/>
        </w:rPr>
      </w:pPr>
      <w:r>
        <w:rPr>
          <w:szCs w:val="24"/>
        </w:rPr>
        <w:t xml:space="preserve">8. ОТВЕТСТВЕННОСТЬ ФУТБОЛИСТОВ И </w:t>
      </w:r>
    </w:p>
    <w:p w14:paraId="73D762CB">
      <w:pPr>
        <w:pStyle w:val="43"/>
        <w:ind w:left="0"/>
        <w:jc w:val="center"/>
        <w:rPr>
          <w:szCs w:val="24"/>
        </w:rPr>
      </w:pPr>
      <w:r>
        <w:rPr>
          <w:szCs w:val="24"/>
        </w:rPr>
        <w:t>РУКОВОДИТЕЛЕЙ КОМАНД</w:t>
      </w:r>
    </w:p>
    <w:p w14:paraId="28F5EB47">
      <w:pPr>
        <w:pStyle w:val="43"/>
        <w:ind w:left="0"/>
        <w:jc w:val="center"/>
        <w:rPr>
          <w:szCs w:val="24"/>
        </w:rPr>
      </w:pPr>
    </w:p>
    <w:p w14:paraId="7D4FBB1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8.1. Футболисты и руководители команд, принимающие участие в соревнованиях по футболу 8х8, обязаны выполнять все требования настоящего Регламента, проявляя при этом высокую дисциплину, организованность, уважение к соперникам и зрителям. Руководители команд (тренеры) не имеют права вмешиваться в действия судей матча, они несут полную ответственность за поведение игроков своей команды.</w:t>
      </w:r>
    </w:p>
    <w:p w14:paraId="76C83E75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8.2. Мера наказания за нарушения Правил игры и Регламента соревнований, недисциплинированное поведение игроков и руководителей команд, определяется Перечнем дисциплинарных санкций КДК МФФ «Золотое кольцо» (Приложение 1).</w:t>
      </w:r>
    </w:p>
    <w:p w14:paraId="7B111333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8.3.   Данные о полученных игроками дисциплинарных санкциях, размещенные на сайте АМФ, не являются официальными, а носят информативный характер. </w:t>
      </w:r>
    </w:p>
    <w:p w14:paraId="591A7FBD">
      <w:pPr>
        <w:pStyle w:val="43"/>
        <w:ind w:left="0"/>
        <w:jc w:val="center"/>
        <w:rPr>
          <w:szCs w:val="24"/>
        </w:rPr>
      </w:pPr>
    </w:p>
    <w:p w14:paraId="68A36B5F">
      <w:pPr>
        <w:pStyle w:val="43"/>
        <w:ind w:left="0"/>
        <w:jc w:val="center"/>
        <w:rPr>
          <w:szCs w:val="24"/>
        </w:rPr>
      </w:pPr>
      <w:r>
        <w:rPr>
          <w:szCs w:val="24"/>
        </w:rPr>
        <w:t>9. ПРОТЕСТЫ</w:t>
      </w:r>
    </w:p>
    <w:p w14:paraId="605B0310">
      <w:pPr>
        <w:pStyle w:val="43"/>
        <w:ind w:left="0"/>
        <w:jc w:val="center"/>
        <w:rPr>
          <w:szCs w:val="24"/>
        </w:rPr>
      </w:pPr>
    </w:p>
    <w:p w14:paraId="1E9157B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9.1. Протест подается на факты (действия или бездействия), которые нарушают положения Регламента в части проведения матча.</w:t>
      </w:r>
    </w:p>
    <w:p w14:paraId="48DE548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9.2. Право подачи протеста принадлежит тренеру или руководителю клуба (футбольного коллектива), внесенного в заявочный лист команды. Представитель команды, подающий протест, обязан немедленно после окончания игры предупредить главного судью матча и представителя команды соперника о подаче протеста. Заявление о подаче протеста фиксируется в протоколе игры (в разделе «Прочие замечания»). Надлежащим образом оформленный и мотивированный протест футбольного коллектива в письменном виде в течение 7 дней с момента окончания игры должен быть направлен в КДК федерации, где рассматривается в установленном порядке. </w:t>
      </w:r>
    </w:p>
    <w:p w14:paraId="145DAB78">
      <w:pPr>
        <w:pStyle w:val="43"/>
        <w:ind w:left="0"/>
        <w:jc w:val="both"/>
        <w:rPr>
          <w:szCs w:val="24"/>
        </w:rPr>
      </w:pPr>
    </w:p>
    <w:p w14:paraId="6887C7B3">
      <w:pPr>
        <w:pStyle w:val="43"/>
        <w:ind w:left="0"/>
        <w:jc w:val="center"/>
        <w:rPr>
          <w:szCs w:val="24"/>
        </w:rPr>
      </w:pPr>
      <w:r>
        <w:rPr>
          <w:szCs w:val="24"/>
        </w:rPr>
        <w:t>10. МЕСТА СОРЕВНОВАНИЙ</w:t>
      </w:r>
    </w:p>
    <w:p w14:paraId="3C050534">
      <w:pPr>
        <w:pStyle w:val="43"/>
        <w:ind w:left="0"/>
        <w:jc w:val="center"/>
        <w:rPr>
          <w:szCs w:val="24"/>
        </w:rPr>
      </w:pPr>
    </w:p>
    <w:p w14:paraId="27A57A4D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10.1. Матчи юношеских команд проводятся на стадионах, заявленных футбольными коллективами и принятых областной федерацией футбола. Матчи проводятся на объектах спорта, включенных во Всероссийский реестр объектов спорта.</w:t>
      </w:r>
    </w:p>
    <w:p w14:paraId="1251B0B8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10.2. Местные организации, областные федерации футбола, руководители команд и дирекция стадиона несут ответственность за качество футбольного поля (рекомендуется предоставлять лучшие поля) обеспечение порядка на стадионе вовремя, до и после проведения футбольного матча, разрабатывают мероприятия по поддержанию общественного порядка на стадионе, совместно с местными органами правопорядка.</w:t>
      </w:r>
    </w:p>
    <w:p w14:paraId="62F54707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10.3. Принимающая команда обязана предоставить три равноценных мяча для проведения игры.</w:t>
      </w:r>
    </w:p>
    <w:p w14:paraId="76B2BC9E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10.4. Принимающая команда обязана обеспечить:</w:t>
      </w:r>
    </w:p>
    <w:p w14:paraId="41FAFAE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футбольное поле (с сетками на воротах) установленных размеров с травяным покрытием и четкой разметкой;</w:t>
      </w:r>
    </w:p>
    <w:p w14:paraId="5477386B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информационное табло;</w:t>
      </w:r>
    </w:p>
    <w:p w14:paraId="7CBC40ED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раздевалки для игроков каждой команды;</w:t>
      </w:r>
    </w:p>
    <w:p w14:paraId="5D13BF0E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душ с горячей и холодной водой;</w:t>
      </w:r>
    </w:p>
    <w:p w14:paraId="599558C5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комнату для судей с необходимым инвентарем и оборудованием, бланки протоколов с эмблемой АМФ «Золотое кольцо» утвержденной формы;</w:t>
      </w:r>
    </w:p>
    <w:p w14:paraId="517B71DB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дежурство врача во время проведения матча;</w:t>
      </w:r>
    </w:p>
    <w:p w14:paraId="07CBB4CE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чай, минеральную или кипяченую воду в раздевалки футболистов и комнату судей;</w:t>
      </w:r>
    </w:p>
    <w:p w14:paraId="2CE3F8F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10.5. Разрешается проведение соревнований на полях с искусственным покрытием.</w:t>
      </w:r>
    </w:p>
    <w:p w14:paraId="40D1C835">
      <w:pPr>
        <w:pStyle w:val="43"/>
        <w:ind w:left="0" w:firstLine="851"/>
        <w:jc w:val="center"/>
        <w:rPr>
          <w:szCs w:val="24"/>
        </w:rPr>
      </w:pPr>
    </w:p>
    <w:p w14:paraId="4AFA7BDC">
      <w:pPr>
        <w:pStyle w:val="43"/>
        <w:ind w:left="0"/>
        <w:jc w:val="center"/>
        <w:rPr>
          <w:szCs w:val="24"/>
        </w:rPr>
      </w:pPr>
      <w:r>
        <w:rPr>
          <w:szCs w:val="24"/>
        </w:rPr>
        <w:t>11. УСЛОВИЯ ПРИЕМА И ОПЛАТЫ РАСХОДОВ</w:t>
      </w:r>
    </w:p>
    <w:p w14:paraId="066E8243">
      <w:pPr>
        <w:pStyle w:val="43"/>
        <w:ind w:left="0"/>
        <w:jc w:val="center"/>
        <w:rPr>
          <w:szCs w:val="24"/>
        </w:rPr>
      </w:pPr>
    </w:p>
    <w:p w14:paraId="588807ED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11.1. Расходы по участию в соревнованиях (питание, проживание, оплата проезда к месту соревнований и обратно, оплата взносов на организацию и проведение соревнований, оплата судейства и врача) организации, направившие команды на соревнования.</w:t>
      </w:r>
    </w:p>
    <w:p w14:paraId="75A4E2CA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11.2. Представитель принимающей команды обязан встретить команду гостей.</w:t>
      </w:r>
    </w:p>
    <w:p w14:paraId="519D5B77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11.3. Приезжая команда не позднее, чем за 7 дней до приезда, должна сообщить принимающей команде дату, время прибытия, а также о необходимости бронирования обратных билетов до места назначения с указанием даты и вида транспорта. В случае несвоевременного сообщения о датах приезда и отъезда команды претензии не принимаются.</w:t>
      </w:r>
    </w:p>
    <w:p w14:paraId="1CCAB648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11.4. Оплату командировочных расходов судей (проезд к месту соревнований и обратно, размещения в гостинице, суточные, телеграфные расходы) несут принимающие организации, это относится так же и к проезду судей внутри одного региона.</w:t>
      </w:r>
    </w:p>
    <w:p w14:paraId="27BF97AA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Расчет авансовых отчетов судей должен быть произведен не позднее, чем за 1 час до начала игры. В случае если такой расчет не произведен, судья вправе не проводить матч, с последующими санкциями к принимающей команде, вплоть до снятия ее с соревнований.</w:t>
      </w:r>
    </w:p>
    <w:p w14:paraId="7C2A0E60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11.5. Оплата за судейство игр Первенства АМФ «Золотое кольцо» производится командой “хозяин поля” из расчета:</w:t>
      </w:r>
    </w:p>
    <w:p w14:paraId="74766CDC">
      <w:pPr>
        <w:pStyle w:val="43"/>
        <w:ind w:left="708" w:firstLine="708"/>
        <w:jc w:val="both"/>
        <w:rPr>
          <w:szCs w:val="24"/>
        </w:rPr>
      </w:pPr>
      <w:r>
        <w:rPr>
          <w:b w:val="0"/>
          <w:color w:val="000000"/>
          <w:szCs w:val="24"/>
          <w:u w:val="none"/>
        </w:rPr>
        <w:t xml:space="preserve">- главному судье и второму судье – по </w:t>
      </w:r>
      <w:r>
        <w:rPr>
          <w:szCs w:val="24"/>
        </w:rPr>
        <w:t>1700 рублей каждому за игру;</w:t>
      </w:r>
    </w:p>
    <w:p w14:paraId="7E3B3B04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           Оплата врачу производится из расчета </w:t>
      </w:r>
      <w:r>
        <w:rPr>
          <w:szCs w:val="24"/>
          <w:u w:val="none"/>
        </w:rPr>
        <w:t>350 рублей</w:t>
      </w:r>
      <w:r>
        <w:rPr>
          <w:b w:val="0"/>
          <w:szCs w:val="24"/>
          <w:u w:val="none"/>
        </w:rPr>
        <w:t xml:space="preserve"> за игру.</w:t>
      </w:r>
    </w:p>
    <w:p w14:paraId="4153F579">
      <w:pPr>
        <w:pStyle w:val="43"/>
        <w:ind w:left="0"/>
        <w:jc w:val="center"/>
        <w:rPr>
          <w:szCs w:val="24"/>
        </w:rPr>
      </w:pPr>
    </w:p>
    <w:p w14:paraId="4CFD07E3">
      <w:pPr>
        <w:pStyle w:val="43"/>
        <w:ind w:left="0"/>
        <w:jc w:val="center"/>
        <w:rPr>
          <w:szCs w:val="24"/>
        </w:rPr>
      </w:pPr>
      <w:r>
        <w:rPr>
          <w:szCs w:val="24"/>
        </w:rPr>
        <w:t>12. СТРАХОВАНИЕ УЧАСТНИКОВ СОРЕВНОВАНИЙ.</w:t>
      </w:r>
    </w:p>
    <w:p w14:paraId="22245CA5">
      <w:pPr>
        <w:pStyle w:val="43"/>
        <w:ind w:left="0"/>
        <w:jc w:val="center"/>
        <w:rPr>
          <w:szCs w:val="24"/>
        </w:rPr>
      </w:pPr>
    </w:p>
    <w:p w14:paraId="6802DCDD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Допуск к участию в соревнованиях осуществляется только при наличии оригинала договора о страховании жизни и страхования от несчастных случаев – травматизма и потери трудоспособности, который предоставляется в Главную судейскую коллегию. Страховая сумма должна составлять не менее 50 (пятидесяти) тысяч рублей на весь период соревнований.</w:t>
      </w:r>
    </w:p>
    <w:p w14:paraId="50DFE998">
      <w:pPr>
        <w:pStyle w:val="43"/>
        <w:ind w:left="0"/>
        <w:jc w:val="both"/>
        <w:rPr>
          <w:b w:val="0"/>
          <w:szCs w:val="24"/>
          <w:u w:val="none"/>
        </w:rPr>
      </w:pPr>
    </w:p>
    <w:p w14:paraId="391147DB">
      <w:pPr>
        <w:pStyle w:val="43"/>
        <w:ind w:left="0"/>
        <w:jc w:val="center"/>
        <w:rPr>
          <w:szCs w:val="24"/>
        </w:rPr>
      </w:pPr>
      <w:r>
        <w:rPr>
          <w:szCs w:val="24"/>
        </w:rPr>
        <w:t>13. НАГРАЖДЕНИЕ.</w:t>
      </w:r>
    </w:p>
    <w:p w14:paraId="66FE7C04">
      <w:pPr>
        <w:pStyle w:val="43"/>
        <w:ind w:left="0"/>
        <w:jc w:val="center"/>
        <w:rPr>
          <w:szCs w:val="24"/>
        </w:rPr>
      </w:pPr>
    </w:p>
    <w:p w14:paraId="4BE88F07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13.1. Команда, занявшая 1 место в Первенстве АМФ «Золотое кольцо», награждается </w:t>
      </w:r>
      <w:r>
        <w:rPr>
          <w:b w:val="0"/>
          <w:color w:val="000000"/>
          <w:szCs w:val="24"/>
          <w:u w:val="none"/>
        </w:rPr>
        <w:t>Кубком</w:t>
      </w:r>
      <w:r>
        <w:rPr>
          <w:b w:val="0"/>
          <w:szCs w:val="24"/>
          <w:u w:val="none"/>
        </w:rPr>
        <w:t xml:space="preserve"> и дипломом. Футболисты и тренеры награждаются медалями и дипломами.</w:t>
      </w:r>
    </w:p>
    <w:p w14:paraId="33C3D6C3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13.2. Команды, занявшие 2 и 3 места в Первенстве, награждаются Кубками и дипломами соответственно 2-ой и 3-й степеней. Футболисты и тренеры награждаются жетонами и дипломами.</w:t>
      </w:r>
    </w:p>
    <w:p w14:paraId="7B12BACC">
      <w:pPr>
        <w:pStyle w:val="43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u w:val="none"/>
        </w:rPr>
        <w:t>13.3. Лучшие игроки каждого соревнования награждаются ценными призами.</w:t>
      </w:r>
    </w:p>
    <w:sectPr>
      <w:headerReference r:id="rId3" w:type="default"/>
      <w:footerReference r:id="rId4" w:type="default"/>
      <w:pgSz w:w="12240" w:h="15840"/>
      <w:pgMar w:top="360" w:right="567" w:bottom="776" w:left="567" w:header="152" w:footer="720" w:gutter="0"/>
      <w:pgNumType w:start="1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imSun"/>
    <w:panose1 w:val="00000000000000000000"/>
    <w:charset w:val="86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EDECF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6ED67B2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A8A9">
    <w:pPr>
      <w:pStyle w:val="1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779A2"/>
    <w:multiLevelType w:val="multilevel"/>
    <w:tmpl w:val="53A779A2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78937963"/>
    <w:multiLevelType w:val="multilevel"/>
    <w:tmpl w:val="78937963"/>
    <w:lvl w:ilvl="0" w:tentative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7A696A7B"/>
    <w:multiLevelType w:val="multilevel"/>
    <w:tmpl w:val="7A696A7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dit="readOnly" w:formatting="1" w:enforcement="1" w:cryptProviderType="rsaFull" w:cryptAlgorithmClass="hash" w:cryptAlgorithmType="typeAny" w:cryptAlgorithmSid="4" w:cryptSpinCount="0" w:hash="zDMuHPBI1JFsVLUw0AQNbnGJl8M=" w:salt="fin/nPaxvzGnrWjWHENCSA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DFC"/>
    <w:rsid w:val="00000803"/>
    <w:rsid w:val="000008CC"/>
    <w:rsid w:val="00020F94"/>
    <w:rsid w:val="0002338E"/>
    <w:rsid w:val="00036A0B"/>
    <w:rsid w:val="00037F22"/>
    <w:rsid w:val="00043A1D"/>
    <w:rsid w:val="0005436F"/>
    <w:rsid w:val="00054C08"/>
    <w:rsid w:val="00056EBA"/>
    <w:rsid w:val="00061644"/>
    <w:rsid w:val="00064F58"/>
    <w:rsid w:val="0007189C"/>
    <w:rsid w:val="00073A3E"/>
    <w:rsid w:val="00074E7C"/>
    <w:rsid w:val="00081433"/>
    <w:rsid w:val="000848F8"/>
    <w:rsid w:val="000946B3"/>
    <w:rsid w:val="0009472B"/>
    <w:rsid w:val="00095009"/>
    <w:rsid w:val="000A32D5"/>
    <w:rsid w:val="000B0F4E"/>
    <w:rsid w:val="000B0F8B"/>
    <w:rsid w:val="000B25BD"/>
    <w:rsid w:val="000B6674"/>
    <w:rsid w:val="000C3E58"/>
    <w:rsid w:val="000E5A72"/>
    <w:rsid w:val="000E64B6"/>
    <w:rsid w:val="000E79EC"/>
    <w:rsid w:val="000F1A9E"/>
    <w:rsid w:val="001124A1"/>
    <w:rsid w:val="00141BAA"/>
    <w:rsid w:val="001439D5"/>
    <w:rsid w:val="00150A0C"/>
    <w:rsid w:val="00160276"/>
    <w:rsid w:val="001C0F8D"/>
    <w:rsid w:val="001C1D0A"/>
    <w:rsid w:val="001D198E"/>
    <w:rsid w:val="001E073C"/>
    <w:rsid w:val="001E0A15"/>
    <w:rsid w:val="001E0BFE"/>
    <w:rsid w:val="001E5A10"/>
    <w:rsid w:val="001F17C4"/>
    <w:rsid w:val="001F22BC"/>
    <w:rsid w:val="0020110C"/>
    <w:rsid w:val="002254B7"/>
    <w:rsid w:val="00236A1D"/>
    <w:rsid w:val="0025354D"/>
    <w:rsid w:val="00266AB0"/>
    <w:rsid w:val="00272BBE"/>
    <w:rsid w:val="00274F19"/>
    <w:rsid w:val="0028167E"/>
    <w:rsid w:val="002A010D"/>
    <w:rsid w:val="002A5119"/>
    <w:rsid w:val="002B1DF1"/>
    <w:rsid w:val="002B4A40"/>
    <w:rsid w:val="002B4F8C"/>
    <w:rsid w:val="002C43FE"/>
    <w:rsid w:val="002C4BBC"/>
    <w:rsid w:val="002C5231"/>
    <w:rsid w:val="002D61FB"/>
    <w:rsid w:val="002F43B4"/>
    <w:rsid w:val="002F71D9"/>
    <w:rsid w:val="003310FB"/>
    <w:rsid w:val="00340DD6"/>
    <w:rsid w:val="00341EF9"/>
    <w:rsid w:val="0036688A"/>
    <w:rsid w:val="00370523"/>
    <w:rsid w:val="00385040"/>
    <w:rsid w:val="00391C1A"/>
    <w:rsid w:val="003A33D6"/>
    <w:rsid w:val="003A378F"/>
    <w:rsid w:val="003A4A60"/>
    <w:rsid w:val="003A6BEA"/>
    <w:rsid w:val="003B6DF5"/>
    <w:rsid w:val="003B7E2C"/>
    <w:rsid w:val="003B7FFA"/>
    <w:rsid w:val="003C4CB8"/>
    <w:rsid w:val="003C547D"/>
    <w:rsid w:val="003C62BF"/>
    <w:rsid w:val="003D1791"/>
    <w:rsid w:val="003F01E9"/>
    <w:rsid w:val="003F0BD4"/>
    <w:rsid w:val="003F4BBC"/>
    <w:rsid w:val="003F6B58"/>
    <w:rsid w:val="00405936"/>
    <w:rsid w:val="0041784D"/>
    <w:rsid w:val="00420D11"/>
    <w:rsid w:val="00432984"/>
    <w:rsid w:val="004365BD"/>
    <w:rsid w:val="00450B8A"/>
    <w:rsid w:val="004537D9"/>
    <w:rsid w:val="00473111"/>
    <w:rsid w:val="00474C56"/>
    <w:rsid w:val="004919F8"/>
    <w:rsid w:val="004A576D"/>
    <w:rsid w:val="004A63C0"/>
    <w:rsid w:val="004D4263"/>
    <w:rsid w:val="004E0FBD"/>
    <w:rsid w:val="004E5E64"/>
    <w:rsid w:val="004F0BCB"/>
    <w:rsid w:val="00531B4C"/>
    <w:rsid w:val="00533D17"/>
    <w:rsid w:val="0054302C"/>
    <w:rsid w:val="00543398"/>
    <w:rsid w:val="00545C6C"/>
    <w:rsid w:val="00545FF1"/>
    <w:rsid w:val="00550167"/>
    <w:rsid w:val="00552969"/>
    <w:rsid w:val="00553C72"/>
    <w:rsid w:val="00555D6E"/>
    <w:rsid w:val="00561CDF"/>
    <w:rsid w:val="00565EC9"/>
    <w:rsid w:val="00567823"/>
    <w:rsid w:val="0057488E"/>
    <w:rsid w:val="0057543E"/>
    <w:rsid w:val="005757D3"/>
    <w:rsid w:val="00577147"/>
    <w:rsid w:val="00593CE3"/>
    <w:rsid w:val="00597E24"/>
    <w:rsid w:val="005A511B"/>
    <w:rsid w:val="005B469F"/>
    <w:rsid w:val="005B63A4"/>
    <w:rsid w:val="005E1CD9"/>
    <w:rsid w:val="005E6DFC"/>
    <w:rsid w:val="00603791"/>
    <w:rsid w:val="006221F9"/>
    <w:rsid w:val="006254B2"/>
    <w:rsid w:val="00625890"/>
    <w:rsid w:val="0063394B"/>
    <w:rsid w:val="00663136"/>
    <w:rsid w:val="00673EF3"/>
    <w:rsid w:val="0067648B"/>
    <w:rsid w:val="00686E28"/>
    <w:rsid w:val="0068750D"/>
    <w:rsid w:val="00687722"/>
    <w:rsid w:val="00696A2E"/>
    <w:rsid w:val="006A1BA1"/>
    <w:rsid w:val="006A2F4B"/>
    <w:rsid w:val="006A6B48"/>
    <w:rsid w:val="006B0027"/>
    <w:rsid w:val="006B28AA"/>
    <w:rsid w:val="006B3458"/>
    <w:rsid w:val="006B55CB"/>
    <w:rsid w:val="006F0810"/>
    <w:rsid w:val="006F2477"/>
    <w:rsid w:val="006F4E42"/>
    <w:rsid w:val="006F50E9"/>
    <w:rsid w:val="00727504"/>
    <w:rsid w:val="00733503"/>
    <w:rsid w:val="00741843"/>
    <w:rsid w:val="00753122"/>
    <w:rsid w:val="00762615"/>
    <w:rsid w:val="0076486C"/>
    <w:rsid w:val="0077323F"/>
    <w:rsid w:val="0078621B"/>
    <w:rsid w:val="0079233B"/>
    <w:rsid w:val="007A3201"/>
    <w:rsid w:val="007A79FA"/>
    <w:rsid w:val="007B540C"/>
    <w:rsid w:val="007D5329"/>
    <w:rsid w:val="007E1F4F"/>
    <w:rsid w:val="007E2C1C"/>
    <w:rsid w:val="007E2F7F"/>
    <w:rsid w:val="007F2344"/>
    <w:rsid w:val="007F761D"/>
    <w:rsid w:val="0081453D"/>
    <w:rsid w:val="00826FD8"/>
    <w:rsid w:val="00837010"/>
    <w:rsid w:val="00854AE2"/>
    <w:rsid w:val="008564F7"/>
    <w:rsid w:val="00875EFD"/>
    <w:rsid w:val="00885C77"/>
    <w:rsid w:val="00891B50"/>
    <w:rsid w:val="008941E4"/>
    <w:rsid w:val="008A7147"/>
    <w:rsid w:val="008D0E42"/>
    <w:rsid w:val="0090366A"/>
    <w:rsid w:val="00920B5D"/>
    <w:rsid w:val="0092516A"/>
    <w:rsid w:val="0092622C"/>
    <w:rsid w:val="00944587"/>
    <w:rsid w:val="00945C7A"/>
    <w:rsid w:val="00950F0A"/>
    <w:rsid w:val="00964D9F"/>
    <w:rsid w:val="009905F3"/>
    <w:rsid w:val="0099145D"/>
    <w:rsid w:val="00991EE0"/>
    <w:rsid w:val="009957AC"/>
    <w:rsid w:val="00996E43"/>
    <w:rsid w:val="009A57D8"/>
    <w:rsid w:val="009B77D4"/>
    <w:rsid w:val="009C1428"/>
    <w:rsid w:val="009D3AEF"/>
    <w:rsid w:val="009E0444"/>
    <w:rsid w:val="009E5B30"/>
    <w:rsid w:val="009E70AE"/>
    <w:rsid w:val="009F19A1"/>
    <w:rsid w:val="009F31A1"/>
    <w:rsid w:val="00A01627"/>
    <w:rsid w:val="00A160CE"/>
    <w:rsid w:val="00A163A3"/>
    <w:rsid w:val="00A24E57"/>
    <w:rsid w:val="00A312C9"/>
    <w:rsid w:val="00A36AD6"/>
    <w:rsid w:val="00A4776B"/>
    <w:rsid w:val="00A52B2B"/>
    <w:rsid w:val="00A54385"/>
    <w:rsid w:val="00A64A4C"/>
    <w:rsid w:val="00A64ADE"/>
    <w:rsid w:val="00A742F8"/>
    <w:rsid w:val="00A74678"/>
    <w:rsid w:val="00A87070"/>
    <w:rsid w:val="00AB2A6C"/>
    <w:rsid w:val="00AB6AD5"/>
    <w:rsid w:val="00AC1343"/>
    <w:rsid w:val="00AC546B"/>
    <w:rsid w:val="00AD1294"/>
    <w:rsid w:val="00AD277C"/>
    <w:rsid w:val="00AD48B2"/>
    <w:rsid w:val="00AD7D9F"/>
    <w:rsid w:val="00AE1847"/>
    <w:rsid w:val="00AF0C49"/>
    <w:rsid w:val="00AF76BA"/>
    <w:rsid w:val="00B056E4"/>
    <w:rsid w:val="00B0614E"/>
    <w:rsid w:val="00B111F9"/>
    <w:rsid w:val="00B16B45"/>
    <w:rsid w:val="00B22B6A"/>
    <w:rsid w:val="00B30FBF"/>
    <w:rsid w:val="00B415D8"/>
    <w:rsid w:val="00B6347B"/>
    <w:rsid w:val="00B809AF"/>
    <w:rsid w:val="00B83FCE"/>
    <w:rsid w:val="00B9262F"/>
    <w:rsid w:val="00B9401B"/>
    <w:rsid w:val="00B946F6"/>
    <w:rsid w:val="00B96F95"/>
    <w:rsid w:val="00B9752B"/>
    <w:rsid w:val="00BA0615"/>
    <w:rsid w:val="00BA0A8F"/>
    <w:rsid w:val="00BA67B5"/>
    <w:rsid w:val="00BA7DA4"/>
    <w:rsid w:val="00BB016E"/>
    <w:rsid w:val="00BC6DCB"/>
    <w:rsid w:val="00BD70DA"/>
    <w:rsid w:val="00C00F8E"/>
    <w:rsid w:val="00C1038B"/>
    <w:rsid w:val="00C15046"/>
    <w:rsid w:val="00C172F5"/>
    <w:rsid w:val="00C23DE2"/>
    <w:rsid w:val="00C27967"/>
    <w:rsid w:val="00C31B7D"/>
    <w:rsid w:val="00C3266E"/>
    <w:rsid w:val="00C44621"/>
    <w:rsid w:val="00C51A31"/>
    <w:rsid w:val="00C576A2"/>
    <w:rsid w:val="00C70F9C"/>
    <w:rsid w:val="00C750EE"/>
    <w:rsid w:val="00C8224A"/>
    <w:rsid w:val="00C824B8"/>
    <w:rsid w:val="00C829C1"/>
    <w:rsid w:val="00C9549F"/>
    <w:rsid w:val="00C9768E"/>
    <w:rsid w:val="00CA588C"/>
    <w:rsid w:val="00CB451B"/>
    <w:rsid w:val="00CB509F"/>
    <w:rsid w:val="00CB51CB"/>
    <w:rsid w:val="00CB54AF"/>
    <w:rsid w:val="00CC102B"/>
    <w:rsid w:val="00CC5081"/>
    <w:rsid w:val="00CC65FB"/>
    <w:rsid w:val="00CD0E7F"/>
    <w:rsid w:val="00CD274F"/>
    <w:rsid w:val="00CD63FF"/>
    <w:rsid w:val="00CD7FAA"/>
    <w:rsid w:val="00CE7E70"/>
    <w:rsid w:val="00D00C8D"/>
    <w:rsid w:val="00D013B6"/>
    <w:rsid w:val="00D02C6F"/>
    <w:rsid w:val="00D11523"/>
    <w:rsid w:val="00D159DC"/>
    <w:rsid w:val="00D226CD"/>
    <w:rsid w:val="00D34B05"/>
    <w:rsid w:val="00D36F40"/>
    <w:rsid w:val="00D460FA"/>
    <w:rsid w:val="00D475C6"/>
    <w:rsid w:val="00D552FA"/>
    <w:rsid w:val="00D60CA4"/>
    <w:rsid w:val="00D63C5D"/>
    <w:rsid w:val="00D64B79"/>
    <w:rsid w:val="00D726D3"/>
    <w:rsid w:val="00D97BEC"/>
    <w:rsid w:val="00DB698A"/>
    <w:rsid w:val="00DC14C9"/>
    <w:rsid w:val="00DC61E2"/>
    <w:rsid w:val="00DD314E"/>
    <w:rsid w:val="00E108A2"/>
    <w:rsid w:val="00E1501C"/>
    <w:rsid w:val="00E25709"/>
    <w:rsid w:val="00E3224E"/>
    <w:rsid w:val="00E50394"/>
    <w:rsid w:val="00E5086F"/>
    <w:rsid w:val="00E51496"/>
    <w:rsid w:val="00E6636D"/>
    <w:rsid w:val="00E73FD6"/>
    <w:rsid w:val="00E80411"/>
    <w:rsid w:val="00E90125"/>
    <w:rsid w:val="00E92692"/>
    <w:rsid w:val="00EA76DD"/>
    <w:rsid w:val="00EB17C3"/>
    <w:rsid w:val="00EB22FE"/>
    <w:rsid w:val="00EF458F"/>
    <w:rsid w:val="00EF76C5"/>
    <w:rsid w:val="00F03476"/>
    <w:rsid w:val="00F0506E"/>
    <w:rsid w:val="00F073C6"/>
    <w:rsid w:val="00F12AB5"/>
    <w:rsid w:val="00F16815"/>
    <w:rsid w:val="00F17F7B"/>
    <w:rsid w:val="00F30373"/>
    <w:rsid w:val="00F33CBA"/>
    <w:rsid w:val="00F45783"/>
    <w:rsid w:val="00F51EE8"/>
    <w:rsid w:val="00F56082"/>
    <w:rsid w:val="00F56457"/>
    <w:rsid w:val="00F808B2"/>
    <w:rsid w:val="00F913FC"/>
    <w:rsid w:val="00F925FB"/>
    <w:rsid w:val="00FA1F83"/>
    <w:rsid w:val="00FA68E3"/>
    <w:rsid w:val="00FB5BB3"/>
    <w:rsid w:val="00FC080B"/>
    <w:rsid w:val="00FC24AC"/>
    <w:rsid w:val="00FD4B81"/>
    <w:rsid w:val="00FD7FE0"/>
    <w:rsid w:val="00FF0A1F"/>
    <w:rsid w:val="00FF6EA1"/>
    <w:rsid w:val="230E4213"/>
    <w:rsid w:val="4495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numPr>
        <w:ilvl w:val="1"/>
        <w:numId w:val="1"/>
      </w:numPr>
      <w:ind w:left="0" w:firstLine="851"/>
      <w:jc w:val="center"/>
      <w:outlineLvl w:val="1"/>
    </w:pPr>
    <w:rPr>
      <w:rFonts w:ascii="Cambria" w:hAnsi="Cambria" w:eastAsia="DejaVu Sans"/>
      <w:b/>
      <w:bCs/>
      <w:i/>
      <w:iCs/>
      <w:sz w:val="28"/>
      <w:szCs w:val="28"/>
    </w:rPr>
  </w:style>
  <w:style w:type="paragraph" w:styleId="3">
    <w:name w:val="heading 3"/>
    <w:basedOn w:val="1"/>
    <w:next w:val="1"/>
    <w:link w:val="20"/>
    <w:qFormat/>
    <w:uiPriority w:val="99"/>
    <w:pPr>
      <w:keepNext/>
      <w:numPr>
        <w:ilvl w:val="2"/>
        <w:numId w:val="1"/>
      </w:numPr>
      <w:ind w:left="0" w:firstLine="851"/>
      <w:jc w:val="center"/>
      <w:outlineLvl w:val="2"/>
    </w:pPr>
    <w:rPr>
      <w:rFonts w:ascii="Cambria" w:hAnsi="Cambria" w:eastAsia="DejaVu Sans"/>
      <w:b/>
      <w:bCs/>
      <w:sz w:val="26"/>
      <w:szCs w:val="26"/>
    </w:rPr>
  </w:style>
  <w:style w:type="paragraph" w:styleId="4">
    <w:name w:val="heading 4"/>
    <w:basedOn w:val="1"/>
    <w:next w:val="1"/>
    <w:link w:val="21"/>
    <w:qFormat/>
    <w:uiPriority w:val="99"/>
    <w:pPr>
      <w:keepNext/>
      <w:numPr>
        <w:ilvl w:val="3"/>
        <w:numId w:val="1"/>
      </w:numPr>
      <w:ind w:left="0" w:right="49" w:firstLine="851"/>
      <w:jc w:val="center"/>
      <w:outlineLvl w:val="3"/>
    </w:pPr>
    <w:rPr>
      <w:rFonts w:ascii="Calibri" w:hAnsi="Calibri" w:eastAsia="DejaVu Sans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uiPriority w:val="99"/>
    <w:rPr>
      <w:color w:val="0000FF"/>
      <w:u w:val="single"/>
    </w:rPr>
  </w:style>
  <w:style w:type="character" w:styleId="8">
    <w:name w:val="page number"/>
    <w:uiPriority w:val="99"/>
    <w:rPr>
      <w:rFonts w:cs="Times New Roman"/>
    </w:rPr>
  </w:style>
  <w:style w:type="paragraph" w:styleId="9">
    <w:name w:val="Balloon Text"/>
    <w:basedOn w:val="1"/>
    <w:link w:val="50"/>
    <w:uiPriority w:val="99"/>
    <w:rPr>
      <w:rFonts w:eastAsia="DejaVu Sans"/>
      <w:sz w:val="2"/>
    </w:rPr>
  </w:style>
  <w:style w:type="paragraph" w:styleId="10">
    <w:name w:val="Body Text 2"/>
    <w:basedOn w:val="1"/>
    <w:link w:val="46"/>
    <w:qFormat/>
    <w:uiPriority w:val="99"/>
    <w:pPr>
      <w:jc w:val="both"/>
    </w:pPr>
    <w:rPr>
      <w:rFonts w:eastAsia="DejaVu Sans"/>
    </w:rPr>
  </w:style>
  <w:style w:type="paragraph" w:styleId="11">
    <w:name w:val="Body Text Indent 3"/>
    <w:basedOn w:val="1"/>
    <w:link w:val="48"/>
    <w:uiPriority w:val="99"/>
    <w:pPr>
      <w:ind w:left="851"/>
    </w:pPr>
    <w:rPr>
      <w:rFonts w:eastAsia="DejaVu Sans"/>
      <w:sz w:val="16"/>
      <w:szCs w:val="16"/>
    </w:rPr>
  </w:style>
  <w:style w:type="paragraph" w:styleId="12">
    <w:name w:val="caption"/>
    <w:basedOn w:val="1"/>
    <w:qFormat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header"/>
    <w:basedOn w:val="1"/>
    <w:link w:val="44"/>
    <w:qFormat/>
    <w:uiPriority w:val="99"/>
    <w:pPr>
      <w:tabs>
        <w:tab w:val="center" w:pos="4320"/>
        <w:tab w:val="right" w:pos="8640"/>
      </w:tabs>
    </w:pPr>
    <w:rPr>
      <w:rFonts w:eastAsia="DejaVu Sans"/>
    </w:rPr>
  </w:style>
  <w:style w:type="paragraph" w:styleId="14">
    <w:name w:val="footer"/>
    <w:basedOn w:val="1"/>
    <w:link w:val="45"/>
    <w:uiPriority w:val="99"/>
    <w:pPr>
      <w:tabs>
        <w:tab w:val="center" w:pos="4320"/>
        <w:tab w:val="right" w:pos="8640"/>
      </w:tabs>
    </w:pPr>
    <w:rPr>
      <w:rFonts w:eastAsia="DejaVu Sans"/>
      <w:lang w:val="ru-RU" w:eastAsia="ru-RU"/>
    </w:rPr>
  </w:style>
  <w:style w:type="paragraph" w:styleId="15">
    <w:name w:val="List"/>
    <w:basedOn w:val="16"/>
    <w:uiPriority w:val="99"/>
  </w:style>
  <w:style w:type="paragraph" w:customStyle="1" w:styleId="16">
    <w:name w:val="Text Body"/>
    <w:basedOn w:val="1"/>
    <w:uiPriority w:val="99"/>
    <w:rPr>
      <w:b/>
      <w:sz w:val="24"/>
      <w:lang w:val="ru-RU"/>
    </w:rPr>
  </w:style>
  <w:style w:type="paragraph" w:styleId="17">
    <w:name w:val="Body Text 3"/>
    <w:basedOn w:val="1"/>
    <w:link w:val="49"/>
    <w:uiPriority w:val="99"/>
    <w:pPr>
      <w:spacing w:after="120"/>
    </w:pPr>
    <w:rPr>
      <w:rFonts w:eastAsia="DejaVu Sans"/>
      <w:sz w:val="16"/>
      <w:szCs w:val="16"/>
    </w:rPr>
  </w:style>
  <w:style w:type="paragraph" w:styleId="18">
    <w:name w:val="Body Text Indent 2"/>
    <w:basedOn w:val="1"/>
    <w:link w:val="47"/>
    <w:uiPriority w:val="99"/>
    <w:pPr>
      <w:ind w:firstLine="851"/>
    </w:pPr>
    <w:rPr>
      <w:rFonts w:eastAsia="DejaVu Sans"/>
    </w:rPr>
  </w:style>
  <w:style w:type="character" w:customStyle="1" w:styleId="19">
    <w:name w:val="Заголовок 2 Знак"/>
    <w:link w:val="2"/>
    <w:semiHidden/>
    <w:locked/>
    <w:uiPriority w:val="99"/>
    <w:rPr>
      <w:rFonts w:ascii="Cambria" w:hAnsi="Cambria" w:cs="Times New Roman"/>
      <w:b/>
      <w:i/>
      <w:sz w:val="28"/>
      <w:lang w:val="en-US" w:eastAsia="zh-CN"/>
    </w:rPr>
  </w:style>
  <w:style w:type="character" w:customStyle="1" w:styleId="20">
    <w:name w:val="Заголовок 3 Знак"/>
    <w:link w:val="3"/>
    <w:semiHidden/>
    <w:locked/>
    <w:uiPriority w:val="99"/>
    <w:rPr>
      <w:rFonts w:ascii="Cambria" w:hAnsi="Cambria" w:cs="Times New Roman"/>
      <w:b/>
      <w:sz w:val="26"/>
      <w:lang w:val="en-US" w:eastAsia="zh-CN"/>
    </w:rPr>
  </w:style>
  <w:style w:type="character" w:customStyle="1" w:styleId="21">
    <w:name w:val="Заголовок 4 Знак"/>
    <w:link w:val="4"/>
    <w:semiHidden/>
    <w:locked/>
    <w:uiPriority w:val="99"/>
    <w:rPr>
      <w:rFonts w:ascii="Calibri" w:hAnsi="Calibri" w:cs="Times New Roman"/>
      <w:b/>
      <w:sz w:val="28"/>
      <w:lang w:val="en-US" w:eastAsia="zh-CN"/>
    </w:rPr>
  </w:style>
  <w:style w:type="character" w:customStyle="1" w:styleId="22">
    <w:name w:val="WW8Num1z0"/>
    <w:uiPriority w:val="99"/>
  </w:style>
  <w:style w:type="character" w:customStyle="1" w:styleId="23">
    <w:name w:val="WW8Num1z1"/>
    <w:uiPriority w:val="99"/>
  </w:style>
  <w:style w:type="character" w:customStyle="1" w:styleId="24">
    <w:name w:val="WW8Num1z2"/>
    <w:uiPriority w:val="99"/>
  </w:style>
  <w:style w:type="character" w:customStyle="1" w:styleId="25">
    <w:name w:val="WW8Num1z3"/>
    <w:uiPriority w:val="99"/>
  </w:style>
  <w:style w:type="character" w:customStyle="1" w:styleId="26">
    <w:name w:val="WW8Num1z4"/>
    <w:uiPriority w:val="99"/>
  </w:style>
  <w:style w:type="character" w:customStyle="1" w:styleId="27">
    <w:name w:val="WW8Num1z5"/>
    <w:uiPriority w:val="99"/>
  </w:style>
  <w:style w:type="character" w:customStyle="1" w:styleId="28">
    <w:name w:val="WW8Num1z6"/>
    <w:uiPriority w:val="99"/>
  </w:style>
  <w:style w:type="character" w:customStyle="1" w:styleId="29">
    <w:name w:val="WW8Num1z7"/>
    <w:qFormat/>
    <w:uiPriority w:val="99"/>
  </w:style>
  <w:style w:type="character" w:customStyle="1" w:styleId="30">
    <w:name w:val="WW8Num1z8"/>
    <w:qFormat/>
    <w:uiPriority w:val="99"/>
  </w:style>
  <w:style w:type="character" w:customStyle="1" w:styleId="31">
    <w:name w:val="WW8Num2z0"/>
    <w:uiPriority w:val="99"/>
  </w:style>
  <w:style w:type="character" w:customStyle="1" w:styleId="32">
    <w:name w:val="WW8Num2z1"/>
    <w:qFormat/>
    <w:uiPriority w:val="99"/>
  </w:style>
  <w:style w:type="character" w:customStyle="1" w:styleId="33">
    <w:name w:val="WW8Num2z2"/>
    <w:uiPriority w:val="99"/>
  </w:style>
  <w:style w:type="character" w:customStyle="1" w:styleId="34">
    <w:name w:val="WW8Num2z3"/>
    <w:uiPriority w:val="99"/>
  </w:style>
  <w:style w:type="character" w:customStyle="1" w:styleId="35">
    <w:name w:val="WW8Num2z4"/>
    <w:uiPriority w:val="99"/>
  </w:style>
  <w:style w:type="character" w:customStyle="1" w:styleId="36">
    <w:name w:val="WW8Num2z5"/>
    <w:uiPriority w:val="99"/>
  </w:style>
  <w:style w:type="character" w:customStyle="1" w:styleId="37">
    <w:name w:val="WW8Num2z6"/>
    <w:uiPriority w:val="99"/>
  </w:style>
  <w:style w:type="character" w:customStyle="1" w:styleId="38">
    <w:name w:val="WW8Num2z7"/>
    <w:qFormat/>
    <w:uiPriority w:val="99"/>
  </w:style>
  <w:style w:type="character" w:customStyle="1" w:styleId="39">
    <w:name w:val="WW8Num2z8"/>
    <w:qFormat/>
    <w:uiPriority w:val="99"/>
  </w:style>
  <w:style w:type="character" w:customStyle="1" w:styleId="40">
    <w:name w:val="Internet Link"/>
    <w:qFormat/>
    <w:uiPriority w:val="99"/>
    <w:rPr>
      <w:color w:val="0000FF"/>
      <w:u w:val="single"/>
    </w:rPr>
  </w:style>
  <w:style w:type="paragraph" w:customStyle="1" w:styleId="41">
    <w:name w:val="Heading"/>
    <w:basedOn w:val="1"/>
    <w:next w:val="16"/>
    <w:qFormat/>
    <w:uiPriority w:val="99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42">
    <w:name w:val="Index"/>
    <w:basedOn w:val="1"/>
    <w:uiPriority w:val="99"/>
    <w:pPr>
      <w:suppressLineNumbers/>
    </w:pPr>
  </w:style>
  <w:style w:type="paragraph" w:customStyle="1" w:styleId="43">
    <w:name w:val="Text Body Indent"/>
    <w:basedOn w:val="1"/>
    <w:qFormat/>
    <w:uiPriority w:val="99"/>
    <w:pPr>
      <w:ind w:left="420"/>
    </w:pPr>
    <w:rPr>
      <w:b/>
      <w:sz w:val="24"/>
      <w:u w:val="single"/>
      <w:lang w:val="ru-RU"/>
    </w:rPr>
  </w:style>
  <w:style w:type="character" w:customStyle="1" w:styleId="44">
    <w:name w:val="Верхний колонтитул Знак"/>
    <w:link w:val="13"/>
    <w:semiHidden/>
    <w:locked/>
    <w:uiPriority w:val="99"/>
    <w:rPr>
      <w:rFonts w:ascii="Times New Roman" w:hAnsi="Times New Roman" w:cs="Times New Roman"/>
      <w:sz w:val="20"/>
      <w:lang w:val="en-US" w:eastAsia="zh-CN"/>
    </w:rPr>
  </w:style>
  <w:style w:type="character" w:customStyle="1" w:styleId="45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</w:rPr>
  </w:style>
  <w:style w:type="character" w:customStyle="1" w:styleId="46">
    <w:name w:val="Основной текст 2 Знак"/>
    <w:link w:val="10"/>
    <w:semiHidden/>
    <w:qFormat/>
    <w:locked/>
    <w:uiPriority w:val="99"/>
    <w:rPr>
      <w:rFonts w:ascii="Times New Roman" w:hAnsi="Times New Roman" w:cs="Times New Roman"/>
      <w:sz w:val="20"/>
      <w:lang w:val="en-US" w:eastAsia="zh-CN"/>
    </w:rPr>
  </w:style>
  <w:style w:type="character" w:customStyle="1" w:styleId="47">
    <w:name w:val="Основной текст с отступом 2 Знак"/>
    <w:link w:val="18"/>
    <w:semiHidden/>
    <w:locked/>
    <w:uiPriority w:val="99"/>
    <w:rPr>
      <w:rFonts w:ascii="Times New Roman" w:hAnsi="Times New Roman" w:cs="Times New Roman"/>
      <w:sz w:val="20"/>
      <w:lang w:val="en-US" w:eastAsia="zh-CN"/>
    </w:rPr>
  </w:style>
  <w:style w:type="character" w:customStyle="1" w:styleId="48">
    <w:name w:val="Основной текст с отступом 3 Знак"/>
    <w:link w:val="11"/>
    <w:semiHidden/>
    <w:locked/>
    <w:uiPriority w:val="99"/>
    <w:rPr>
      <w:rFonts w:ascii="Times New Roman" w:hAnsi="Times New Roman" w:cs="Times New Roman"/>
      <w:sz w:val="16"/>
      <w:lang w:val="en-US" w:eastAsia="zh-CN"/>
    </w:rPr>
  </w:style>
  <w:style w:type="character" w:customStyle="1" w:styleId="49">
    <w:name w:val="Основной текст 3 Знак"/>
    <w:link w:val="17"/>
    <w:semiHidden/>
    <w:locked/>
    <w:uiPriority w:val="99"/>
    <w:rPr>
      <w:rFonts w:ascii="Times New Roman" w:hAnsi="Times New Roman" w:cs="Times New Roman"/>
      <w:sz w:val="16"/>
      <w:lang w:val="en-US" w:eastAsia="zh-CN"/>
    </w:rPr>
  </w:style>
  <w:style w:type="character" w:customStyle="1" w:styleId="50">
    <w:name w:val="Текст выноски Знак"/>
    <w:link w:val="9"/>
    <w:semiHidden/>
    <w:locked/>
    <w:uiPriority w:val="99"/>
    <w:rPr>
      <w:rFonts w:ascii="Times New Roman" w:hAnsi="Times New Roman" w:cs="Times New Roman"/>
      <w:sz w:val="2"/>
      <w:lang w:val="en-US" w:eastAsia="zh-CN"/>
    </w:rPr>
  </w:style>
  <w:style w:type="paragraph" w:customStyle="1" w:styleId="51">
    <w:name w:val="Table Contents"/>
    <w:basedOn w:val="1"/>
    <w:uiPriority w:val="99"/>
    <w:pPr>
      <w:suppressLineNumbers/>
    </w:pPr>
  </w:style>
  <w:style w:type="paragraph" w:customStyle="1" w:styleId="52">
    <w:name w:val="Table Heading"/>
    <w:basedOn w:val="51"/>
    <w:uiPriority w:val="99"/>
    <w:pPr>
      <w:jc w:val="center"/>
    </w:pPr>
    <w:rPr>
      <w:b/>
      <w:bCs/>
    </w:rPr>
  </w:style>
  <w:style w:type="paragraph" w:customStyle="1" w:styleId="53">
    <w:name w:val="Frame Contents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2880</Words>
  <Characters>16420</Characters>
  <Lines>136</Lines>
  <Paragraphs>38</Paragraphs>
  <TotalTime>194</TotalTime>
  <ScaleCrop>false</ScaleCrop>
  <LinksUpToDate>false</LinksUpToDate>
  <CharactersWithSpaces>19262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2017-01-30T08:10:00Z</dcterms:created>
  <dc:creator>Bugrov</dc:creator>
  <cp:lastModifiedBy>MRO_FFZK1</cp:lastModifiedBy>
  <cp:lastPrinted>2022-02-09T08:24:00Z</cp:lastPrinted>
  <dcterms:modified xsi:type="dcterms:W3CDTF">2026-03-04T13:44:36Z</dcterms:modified>
  <dc:title>ПРОЕКТ</dc:title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3204280476F543D188930208E5EE85C1_12</vt:lpwstr>
  </property>
</Properties>
</file>